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FC" w:rsidRPr="00A3147A" w:rsidRDefault="002A4AFC" w:rsidP="002A4AFC">
      <w:pPr>
        <w:widowControl/>
        <w:shd w:val="clear" w:color="auto" w:fill="FFFFFF"/>
        <w:spacing w:line="375" w:lineRule="atLeast"/>
        <w:jc w:val="left"/>
        <w:rPr>
          <w:rFonts w:ascii="Helvetica" w:hAnsi="Helvetica" w:cs="Helvetica"/>
          <w:color w:val="3E3E3E"/>
          <w:kern w:val="0"/>
          <w:sz w:val="24"/>
        </w:rPr>
      </w:pPr>
      <w:r w:rsidRPr="00A3147A">
        <w:rPr>
          <w:rFonts w:ascii="Helvetica" w:hAnsi="Helvetica" w:cs="Helvetica"/>
          <w:color w:val="3E3E3E"/>
          <w:kern w:val="0"/>
          <w:sz w:val="24"/>
        </w:rPr>
        <w:t>附件</w:t>
      </w:r>
    </w:p>
    <w:p w:rsidR="002A4AFC" w:rsidRPr="00A3147A" w:rsidRDefault="002A4AFC" w:rsidP="002A4AFC">
      <w:pPr>
        <w:widowControl/>
        <w:shd w:val="clear" w:color="auto" w:fill="FFFFFF"/>
        <w:spacing w:line="375" w:lineRule="atLeast"/>
        <w:jc w:val="center"/>
        <w:rPr>
          <w:rFonts w:ascii="Helvetica" w:hAnsi="Helvetica" w:cs="Helvetica"/>
          <w:color w:val="3E3E3E"/>
          <w:kern w:val="0"/>
          <w:sz w:val="24"/>
        </w:rPr>
      </w:pPr>
      <w:r w:rsidRPr="00A3147A">
        <w:rPr>
          <w:rFonts w:ascii="Helvetica" w:hAnsi="Helvetica" w:cs="Helvetica"/>
          <w:color w:val="3E3E3E"/>
          <w:kern w:val="0"/>
          <w:sz w:val="24"/>
        </w:rPr>
        <w:br/>
      </w:r>
      <w:r w:rsidRPr="00A3147A">
        <w:rPr>
          <w:rFonts w:ascii="Helvetica" w:hAnsi="Helvetica" w:cs="Helvetica"/>
          <w:color w:val="AB1942"/>
          <w:kern w:val="0"/>
          <w:sz w:val="24"/>
        </w:rPr>
        <w:t>政策措施分工表</w:t>
      </w:r>
    </w:p>
    <w:p w:rsidR="002A4AFC" w:rsidRPr="00A3147A" w:rsidRDefault="002A4AFC" w:rsidP="002A4AFC">
      <w:pPr>
        <w:widowControl/>
        <w:shd w:val="clear" w:color="auto" w:fill="FFFFFF"/>
        <w:spacing w:line="375" w:lineRule="atLeast"/>
        <w:jc w:val="left"/>
        <w:rPr>
          <w:rFonts w:ascii="Helvetica" w:hAnsi="Helvetica" w:cs="Helvetica"/>
          <w:color w:val="3E3E3E"/>
          <w:kern w:val="0"/>
          <w:sz w:val="24"/>
        </w:rPr>
      </w:pPr>
    </w:p>
    <w:tbl>
      <w:tblPr>
        <w:tblW w:w="10050"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left w:w="0" w:type="dxa"/>
          <w:right w:w="0" w:type="dxa"/>
        </w:tblCellMar>
        <w:tblLook w:val="0000"/>
      </w:tblPr>
      <w:tblGrid>
        <w:gridCol w:w="805"/>
        <w:gridCol w:w="6764"/>
        <w:gridCol w:w="2481"/>
      </w:tblGrid>
      <w:tr w:rsidR="002A4AFC" w:rsidRPr="00A3147A" w:rsidTr="002A4AFC">
        <w:trPr>
          <w:trHeight w:val="63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序号</w:t>
            </w:r>
          </w:p>
        </w:tc>
        <w:tc>
          <w:tcPr>
            <w:tcW w:w="4785" w:type="dxa"/>
            <w:tcMar>
              <w:top w:w="0" w:type="dxa"/>
              <w:left w:w="105" w:type="dxa"/>
              <w:bottom w:w="0" w:type="dxa"/>
              <w:right w:w="105" w:type="dxa"/>
            </w:tcMar>
            <w:vAlign w:val="cente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工作任务</w:t>
            </w:r>
          </w:p>
        </w:tc>
        <w:tc>
          <w:tcPr>
            <w:tcW w:w="1755" w:type="dxa"/>
            <w:tcMar>
              <w:top w:w="0" w:type="dxa"/>
              <w:left w:w="105" w:type="dxa"/>
              <w:bottom w:w="0" w:type="dxa"/>
              <w:right w:w="105" w:type="dxa"/>
            </w:tcMar>
            <w:vAlign w:val="cente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负责部门</w:t>
            </w:r>
          </w:p>
        </w:tc>
      </w:tr>
      <w:tr w:rsidR="002A4AFC" w:rsidRPr="00A3147A" w:rsidTr="002A4AFC">
        <w:trPr>
          <w:trHeight w:val="63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1</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积极探索适合生活性服务业特点的未开业企业、无债权债务企业简易注销制度，建立有序的市场退出机制。</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工商总局</w:t>
            </w:r>
          </w:p>
        </w:tc>
      </w:tr>
      <w:tr w:rsidR="002A4AFC" w:rsidRPr="00A3147A" w:rsidTr="002A4AFC">
        <w:trPr>
          <w:trHeight w:val="156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2</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推动生活性服务业企业信用信息共享，将有关信用信息纳入国家企业信用信息公示系统，建立完善全国统一的信用信息共享交换平台。</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发展改革委、人民银行、工商总局、商务部会同有关部门</w:t>
            </w:r>
          </w:p>
        </w:tc>
      </w:tr>
      <w:tr w:rsidR="002A4AFC" w:rsidRPr="00A3147A" w:rsidTr="002A4AFC">
        <w:trPr>
          <w:trHeight w:val="615"/>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3</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AB1942"/>
                <w:kern w:val="0"/>
                <w:sz w:val="24"/>
              </w:rPr>
              <w:t>围绕旅游休闲、教育文化体育和养老健康家政等领域，尽快组织实施一批重大工程。</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发展改革委及各有关部门</w:t>
            </w:r>
          </w:p>
        </w:tc>
      </w:tr>
      <w:tr w:rsidR="002A4AFC" w:rsidRPr="00A3147A" w:rsidTr="002A4AFC">
        <w:trPr>
          <w:trHeight w:val="93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4</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加强认证认可体系建设，创新评价技术，完善生活性服务业重点领域认证认可制度。加快实施服务质量提升工程和监测基础建设工程。</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质检总局</w:t>
            </w:r>
          </w:p>
        </w:tc>
      </w:tr>
      <w:tr w:rsidR="002A4AFC" w:rsidRPr="00A3147A" w:rsidTr="002A4AFC">
        <w:trPr>
          <w:trHeight w:val="1245"/>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5</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制定实施好国家服务业标准规划和年度计划。实施服务标准体系建设工程，加快家政、养老、健康、体育、文化、旅游等领域的关键标准研制。继续开展国家级服务业标准化试点，总结推广经验。</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质检总局及各有关部门</w:t>
            </w:r>
          </w:p>
        </w:tc>
      </w:tr>
      <w:tr w:rsidR="002A4AFC" w:rsidRPr="00A3147A" w:rsidTr="002A4AFC">
        <w:trPr>
          <w:trHeight w:val="93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6</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适时推进“营改增”改革，研究将尚未试点的生活性服务行业纳入改革范围。科学设计生活性服务业“营改增”改革方案，合理设置生活性服务业增值税税率。</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财政部、税务总局会同有关部门</w:t>
            </w:r>
          </w:p>
        </w:tc>
      </w:tr>
      <w:tr w:rsidR="002A4AFC" w:rsidRPr="00A3147A" w:rsidTr="002A4AFC">
        <w:trPr>
          <w:trHeight w:val="1245"/>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7</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支持符合条件的生活性服务业企业上市融资和发行债券。</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证监会、发展改革委、人民银行会同有关部门</w:t>
            </w:r>
          </w:p>
        </w:tc>
      </w:tr>
      <w:tr w:rsidR="002A4AFC" w:rsidRPr="00A3147A" w:rsidTr="002A4AFC">
        <w:trPr>
          <w:trHeight w:val="1875"/>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lastRenderedPageBreak/>
              <w:t>8</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鼓励金融机构拓宽对生活性服务业企业贷款的抵质押品种类和范围。鼓励商业银行在商业自愿、依法合规、风险可控的前提下，专业化开展知识产权质押、仓单质押、信用保险保单质押、股权质押、保理等多种方式的金融服务。探索建立保险产品保护机制，鼓励保险机构开展产品创新和服务创新。</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人民银行、银监会、保监会</w:t>
            </w:r>
          </w:p>
        </w:tc>
      </w:tr>
      <w:tr w:rsidR="002A4AFC" w:rsidRPr="00A3147A" w:rsidTr="002A4AFC">
        <w:trPr>
          <w:trHeight w:val="63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9</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深化景区门票价格改革，维护旅游市场秩序。</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发展改革委、旅游局</w:t>
            </w:r>
          </w:p>
        </w:tc>
      </w:tr>
      <w:tr w:rsidR="002A4AFC" w:rsidRPr="00A3147A" w:rsidTr="002A4AFC">
        <w:trPr>
          <w:trHeight w:val="645"/>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10</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AB1942"/>
                <w:kern w:val="0"/>
                <w:sz w:val="24"/>
              </w:rPr>
              <w:t>鼓励高等学校、中等职业学校增设家庭、养老、健康等生活性服务业相关专业，扩大人才培养规模。</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教育部、发展改革委</w:t>
            </w:r>
          </w:p>
        </w:tc>
      </w:tr>
      <w:tr w:rsidR="002A4AFC" w:rsidRPr="00A3147A" w:rsidTr="002A4AFC">
        <w:trPr>
          <w:trHeight w:val="93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11</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依托各类职业院校、职业技能培训机构加强实训基地建设，实施家政服务员、养老护理员、病患服务员等家庭服务从业人员专项培训。</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人力资源社会保障部</w:t>
            </w:r>
          </w:p>
        </w:tc>
      </w:tr>
      <w:tr w:rsidR="002A4AFC" w:rsidRPr="00A3147A" w:rsidTr="002A4AFC">
        <w:trPr>
          <w:trHeight w:val="1245"/>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12</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鼓励从业人员参加依法设立的职业技能鉴定或专项职业能力考核，对通过初次职业技能鉴定并取得相应等级职业资格证书或专项职业能力证书的，按规定给予一次性职业技能鉴定补贴。</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人力资源社会保障部</w:t>
            </w:r>
          </w:p>
        </w:tc>
      </w:tr>
      <w:tr w:rsidR="002A4AFC" w:rsidRPr="00A3147A" w:rsidTr="002A4AFC">
        <w:trPr>
          <w:trHeight w:val="93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13</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鼓励和规范家政服务企业以员工制方式提供管理和服务，实行统一标准、统一培训、统一管理。</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人力资源社会保障部、商务部</w:t>
            </w:r>
          </w:p>
        </w:tc>
      </w:tr>
      <w:tr w:rsidR="002A4AFC" w:rsidRPr="00A3147A" w:rsidTr="002A4AFC">
        <w:trPr>
          <w:trHeight w:val="930"/>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14</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加强知识产权保护立法和实施工作，强化对专利、商标、版权等无形资产的开发和保护。</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知识产权局、工商总局、版权局</w:t>
            </w:r>
          </w:p>
        </w:tc>
      </w:tr>
      <w:tr w:rsidR="002A4AFC" w:rsidRPr="00A3147A" w:rsidTr="002A4AFC">
        <w:trPr>
          <w:trHeight w:val="1245"/>
        </w:trPr>
        <w:tc>
          <w:tcPr>
            <w:tcW w:w="570"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center"/>
              <w:rPr>
                <w:rFonts w:ascii="Helvetica" w:hAnsi="Helvetica" w:cs="Helvetica"/>
                <w:color w:val="3E3E3E"/>
                <w:kern w:val="0"/>
                <w:sz w:val="24"/>
              </w:rPr>
            </w:pPr>
            <w:r w:rsidRPr="00A3147A">
              <w:rPr>
                <w:rFonts w:ascii="宋体" w:hAnsi="宋体" w:cs="Helvetica" w:hint="eastAsia"/>
                <w:color w:val="3E3E3E"/>
                <w:kern w:val="0"/>
                <w:sz w:val="24"/>
              </w:rPr>
              <w:t>15</w:t>
            </w:r>
          </w:p>
        </w:tc>
        <w:tc>
          <w:tcPr>
            <w:tcW w:w="478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以国民经济行业分类为基础，抓紧研究制定生活性服务业及其重点领域统计分类，完善统计制度和指标体系，明确有关部门统计任务。建立健全部门间信息共享机制，逐步建立生活性服务业信息定期发布制度。</w:t>
            </w:r>
          </w:p>
        </w:tc>
        <w:tc>
          <w:tcPr>
            <w:tcW w:w="1755" w:type="dxa"/>
            <w:tcMar>
              <w:top w:w="0" w:type="dxa"/>
              <w:left w:w="105" w:type="dxa"/>
              <w:bottom w:w="0" w:type="dxa"/>
              <w:right w:w="105" w:type="dxa"/>
            </w:tcMar>
          </w:tcPr>
          <w:p w:rsidR="002A4AFC" w:rsidRPr="00A3147A" w:rsidRDefault="002A4AFC" w:rsidP="00102D37">
            <w:pPr>
              <w:widowControl/>
              <w:wordWrap w:val="0"/>
              <w:spacing w:beforeAutospacing="1" w:afterAutospacing="1" w:line="540" w:lineRule="atLeast"/>
              <w:jc w:val="left"/>
              <w:rPr>
                <w:rFonts w:ascii="Helvetica" w:hAnsi="Helvetica" w:cs="Helvetica"/>
                <w:color w:val="3E3E3E"/>
                <w:kern w:val="0"/>
                <w:sz w:val="24"/>
              </w:rPr>
            </w:pPr>
            <w:r w:rsidRPr="00A3147A">
              <w:rPr>
                <w:rFonts w:ascii="宋体" w:hAnsi="宋体" w:cs="Helvetica" w:hint="eastAsia"/>
                <w:color w:val="3E3E3E"/>
                <w:kern w:val="0"/>
                <w:sz w:val="24"/>
              </w:rPr>
              <w:t>统计局、发展改革委会同各有关部门</w:t>
            </w:r>
          </w:p>
          <w:p w:rsidR="002A4AFC" w:rsidRPr="00A3147A" w:rsidRDefault="002A4AFC" w:rsidP="00102D37">
            <w:pPr>
              <w:widowControl/>
              <w:wordWrap w:val="0"/>
              <w:spacing w:line="375" w:lineRule="atLeast"/>
              <w:jc w:val="left"/>
              <w:rPr>
                <w:rFonts w:ascii="Helvetica" w:hAnsi="Helvetica" w:cs="Helvetica"/>
                <w:color w:val="3E3E3E"/>
                <w:kern w:val="0"/>
                <w:sz w:val="24"/>
              </w:rPr>
            </w:pPr>
            <w:r w:rsidRPr="00A3147A">
              <w:rPr>
                <w:rFonts w:ascii="宋体" w:hAnsi="宋体" w:cs="Helvetica" w:hint="eastAsia"/>
                <w:color w:val="3E3E3E"/>
                <w:kern w:val="0"/>
                <w:sz w:val="24"/>
              </w:rPr>
              <w:br/>
            </w:r>
          </w:p>
        </w:tc>
      </w:tr>
    </w:tbl>
    <w:p w:rsidR="00F56BF6" w:rsidRPr="002A4AFC" w:rsidRDefault="00F56BF6"/>
    <w:sectPr w:rsidR="00F56BF6" w:rsidRPr="002A4AFC" w:rsidSect="00F56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930" w:rsidRDefault="00257930" w:rsidP="002A4AFC">
      <w:r>
        <w:separator/>
      </w:r>
    </w:p>
  </w:endnote>
  <w:endnote w:type="continuationSeparator" w:id="0">
    <w:p w:rsidR="00257930" w:rsidRDefault="00257930" w:rsidP="002A4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930" w:rsidRDefault="00257930" w:rsidP="002A4AFC">
      <w:r>
        <w:separator/>
      </w:r>
    </w:p>
  </w:footnote>
  <w:footnote w:type="continuationSeparator" w:id="0">
    <w:p w:rsidR="00257930" w:rsidRDefault="00257930" w:rsidP="002A4A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4AFC"/>
    <w:rsid w:val="00257930"/>
    <w:rsid w:val="002A4AFC"/>
    <w:rsid w:val="00F56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4A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A4AFC"/>
    <w:rPr>
      <w:sz w:val="18"/>
      <w:szCs w:val="18"/>
    </w:rPr>
  </w:style>
  <w:style w:type="paragraph" w:styleId="a4">
    <w:name w:val="footer"/>
    <w:basedOn w:val="a"/>
    <w:link w:val="Char0"/>
    <w:uiPriority w:val="99"/>
    <w:semiHidden/>
    <w:unhideWhenUsed/>
    <w:rsid w:val="002A4A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A4A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2016-05-23T05:10:00Z</dcterms:created>
  <dcterms:modified xsi:type="dcterms:W3CDTF">2016-05-23T05:13:00Z</dcterms:modified>
</cp:coreProperties>
</file>